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80" w:beforeAutospacing="0" w:after="0" w:afterAutospacing="0"/>
        <w:ind w:left="0" w:right="0" w:firstLine="600"/>
        <w:rPr>
          <w:rFonts w:hint="default" w:ascii="Microsoft JhengHei" w:hAnsi="Microsoft JhengHei" w:eastAsia="宋体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Microsoft JhengHei" w:hAnsi="Microsoft JhengHei" w:eastAsia="宋体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  <w:lang w:val="en-US" w:eastAsia="zh-CN"/>
        </w:rPr>
        <w:t>SC8110 1-3KVA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80" w:beforeAutospacing="0" w:after="0" w:afterAutospacing="0"/>
        <w:ind w:left="0" w:right="0" w:firstLine="60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功能特点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◆在线式设计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确保供电高可靠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◆宽输入电压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/ 频率范围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适应恶劣电网环境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◆大屏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LCD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显示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更为直接的获取工作状态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9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◆高功率密度设计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整机体积较同类产品小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20%-40%;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◆出色的环保、节能特性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◆丰富的监控管理选件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提高系统可靠性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9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◆通过百事服卡接入云监控管理平台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4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远程监控控制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手机短信报警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快速反应售后服务。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ascii="Arial" w:hAnsi="Arial" w:eastAsia="微软雅黑" w:cs="Arial"/>
          <w:i w:val="0"/>
          <w:iCs w:val="0"/>
          <w:caps w:val="0"/>
          <w:color w:val="606060"/>
          <w:spacing w:val="0"/>
          <w:sz w:val="14"/>
          <w:szCs w:val="1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8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高功率密度设计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◆采用先进的拓扑设计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4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大大提升了产品的功率密度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减小产品的体积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适应更多场合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◆输出功率因数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0.8, 符合负载的发展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实现更强的带载能力。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卓越的电气性能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DSP 全数字控制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输出稳压精度高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具有自我保护和故障诊断功能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◆输入功率因数高达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0.99, 提升电能利用率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有效降低使用成本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◆整机效率高达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91%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以上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并提供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ECO 模式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节能效益明显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◆过载能力强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市电额定下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,125%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负载可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5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分钟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满足负载突加的情况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◆智能化电池管理功能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延长电池模块的使用寿命。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8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LCD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10"/>
          <w:sz w:val="19"/>
          <w:szCs w:val="19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显示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4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◆用户可轻松获取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UPS 状态信息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包括工作模式等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◆用户可通过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LCD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实时查询电池容量与负载容量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◆故障状态清楚显示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提升问题解决速度。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完善的电源管理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◆风扇的故障自检和自动识别负载大小调整转速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3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降低功耗和噪音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◆标配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3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RS-232 及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USB 通讯接口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方便用户对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UPS 进行的通讯管理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◆配合不同的监控卡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可满足并实现用户多样的管理功能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i w:val="0"/>
          <w:iCs w:val="0"/>
          <w:caps w:val="0"/>
          <w:color w:val="606060"/>
          <w:spacing w:val="0"/>
          <w:sz w:val="16"/>
          <w:szCs w:val="16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◆提供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EPO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紧急关断功能。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4"/>
        <w:gridCol w:w="439"/>
        <w:gridCol w:w="524"/>
        <w:gridCol w:w="574"/>
        <w:gridCol w:w="524"/>
        <w:gridCol w:w="574"/>
        <w:gridCol w:w="524"/>
        <w:gridCol w:w="19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型号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SC8110-1K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SC8110-1KL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SC8110-2K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SC8110-2KL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SC8110-3K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SC8110-3KL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额定容量</w:t>
            </w:r>
          </w:p>
        </w:tc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1kVA/0.8kW</w:t>
            </w:r>
          </w:p>
        </w:tc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2kVA/1.6kW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3kVA/2.4kW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输入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电压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(165~300)VAC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频率</w:t>
            </w:r>
          </w:p>
        </w:tc>
        <w:tc>
          <w:tcPr>
            <w:tcW w:w="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(40~60)Hz(软件可调)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输出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电压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220×(1±2％)VAC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16"/>
                <w:szCs w:val="16"/>
              </w:rPr>
            </w:pPr>
          </w:p>
        </w:tc>
        <w:tc>
          <w:tcPr>
            <w:tcW w:w="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频率</w:t>
            </w:r>
          </w:p>
        </w:tc>
        <w:tc>
          <w:tcPr>
            <w:tcW w:w="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与输入同步〔市电模式〕，当市电频率超出(46~54)Hz范围时，输出频率为50×(1±0.2%)Hz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16"/>
                <w:szCs w:val="16"/>
              </w:rPr>
            </w:pPr>
          </w:p>
        </w:tc>
        <w:tc>
          <w:tcPr>
            <w:tcW w:w="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16"/>
                <w:szCs w:val="16"/>
              </w:rPr>
            </w:pPr>
          </w:p>
        </w:tc>
        <w:tc>
          <w:tcPr>
            <w:tcW w:w="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50×(1±0.2%)Hz〔电池模式〕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输出波形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正弦波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备用时间（满载/半载）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&gt;5’/14′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&gt;9’/21′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&gt;5’/15′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电池形式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阀控式铅蓄电池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阀控式铅蓄电池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阀控式铅蓄电池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外接电池标称电压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36VDC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36VDC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—-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36VDC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转换时间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零中断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超载能力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110％－150％维持30秒钟后输出转为旁路，150%以上维持300ms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通讯界面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RS-232+IntelligentSlot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操作环境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温度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0℃～40℃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湿度</w:t>
            </w:r>
          </w:p>
        </w:tc>
        <w:tc>
          <w:tcPr>
            <w:tcW w:w="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20％～90％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外观尺寸（W×D×H）</w:t>
            </w: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br w:type="textWrapping"/>
            </w: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（mm×mm×mm）</w:t>
            </w:r>
          </w:p>
        </w:tc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355x145x225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425x190x320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231F20"/>
                <w:spacing w:val="0"/>
                <w:sz w:val="9"/>
                <w:szCs w:val="9"/>
                <w:bdr w:val="none" w:color="auto" w:sz="0" w:space="0"/>
              </w:rPr>
              <w:t>重量(净重)kg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14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5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34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13.5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34.5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06060"/>
                <w:spacing w:val="0"/>
                <w:sz w:val="9"/>
                <w:szCs w:val="9"/>
                <w:bdr w:val="none" w:color="auto" w:sz="0" w:space="0"/>
              </w:rPr>
              <w:t>14</w:t>
            </w:r>
          </w:p>
        </w:tc>
      </w:tr>
    </w:tbl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hanging="360"/>
        <w:rPr>
          <w:rFonts w:hint="eastAsia" w:ascii="微软雅黑" w:hAnsi="微软雅黑" w:eastAsia="微软雅黑" w:cs="微软雅黑"/>
          <w:color w:val="222222"/>
          <w:sz w:val="18"/>
          <w:szCs w:val="18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hanging="360"/>
        <w:rPr>
          <w:rFonts w:hint="eastAsia" w:ascii="微软雅黑" w:hAnsi="微软雅黑" w:eastAsia="微软雅黑" w:cs="微软雅黑"/>
          <w:color w:val="222222"/>
          <w:sz w:val="18"/>
          <w:szCs w:val="18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8F8F8"/>
          <w:lang w:val="en-US" w:eastAsia="zh-CN"/>
        </w:rPr>
        <w:t>SC8110 5KVA-10KVA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600"/>
        <w:rPr>
          <w:rFonts w:hint="eastAsia" w:ascii="微软雅黑" w:hAnsi="微软雅黑" w:eastAsia="微软雅黑" w:cs="微软雅黑"/>
          <w:color w:val="606060"/>
        </w:rPr>
      </w:pPr>
      <w:r>
        <w:rPr>
          <w:rFonts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应用对象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10"/>
          <w:sz w:val="19"/>
          <w:szCs w:val="19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166" w:lineRule="atLeast"/>
        <w:ind w:left="600" w:right="57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服务器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3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存储器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网络设备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,VIOP 通讯设备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自动化设备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精密仪器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医疗诊断设备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,OFFICE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办公终端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网络间交换 设备及服务器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机房等。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62" w:lineRule="atLeast"/>
        <w:ind w:left="0" w:right="0"/>
        <w:rPr>
          <w:rFonts w:hint="eastAsia" w:ascii="微软雅黑" w:hAnsi="微软雅黑" w:eastAsia="微软雅黑" w:cs="微软雅黑"/>
          <w:color w:val="606060"/>
        </w:rPr>
      </w:pPr>
      <w:r>
        <w:rPr>
          <w:rFonts w:ascii="Arial" w:hAnsi="Arial" w:eastAsia="微软雅黑" w:cs="Arial"/>
          <w:i w:val="0"/>
          <w:iCs w:val="0"/>
          <w:caps w:val="0"/>
          <w:color w:val="606060"/>
          <w:spacing w:val="0"/>
          <w:sz w:val="14"/>
          <w:szCs w:val="1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80" w:beforeAutospacing="0" w:after="0" w:afterAutospacing="0"/>
        <w:ind w:left="0" w:right="0" w:firstLine="60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适用行业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电信、金融、政府、医疗、教育、制造、交通、邮政、物流、商业、零售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....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68" w:lineRule="atLeast"/>
        <w:ind w:left="0" w:right="0"/>
        <w:rPr>
          <w:rFonts w:hint="eastAsia" w:ascii="微软雅黑" w:hAnsi="微软雅黑" w:eastAsia="微软雅黑" w:cs="微软雅黑"/>
          <w:color w:val="606060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606060"/>
          <w:spacing w:val="0"/>
          <w:sz w:val="14"/>
          <w:szCs w:val="14"/>
          <w:bdr w:val="none" w:color="auto" w:sz="0" w:space="0"/>
          <w:shd w:val="clear" w:fill="FFFFFF"/>
        </w:rPr>
        <w:t>               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办公电脑设备             医疗设备                   监控设备              POS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收银系统            精密仪器               商业办公设备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7" w:lineRule="atLeast"/>
        <w:ind w:left="0" w:right="0"/>
        <w:rPr>
          <w:rFonts w:hint="eastAsia" w:ascii="微软雅黑" w:hAnsi="微软雅黑" w:eastAsia="微软雅黑" w:cs="微软雅黑"/>
          <w:color w:val="606060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606060"/>
          <w:spacing w:val="0"/>
          <w:sz w:val="14"/>
          <w:szCs w:val="1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80" w:beforeAutospacing="0" w:after="0" w:afterAutospacing="0"/>
        <w:ind w:left="0" w:right="0" w:firstLine="60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功能特点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◆在线式设计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确保供电高可靠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◆宽输入电压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/ 频率范围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适应恶劣电网环境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◆大屏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LCD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显示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更为直接的获取工作状态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◆高功率密度设计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整机体积较同类产品小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20%-40%;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◆出色的环保、节能特性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◆丰富的监控管理选件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提高系统可靠性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0" w:afterAutospacing="0"/>
        <w:ind w:left="0" w:right="0" w:firstLine="61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◆通过百事服卡接入云监控管理平台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4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远程监控控制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手机短信报警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快速反应售后服务。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color w:val="606060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606060"/>
          <w:spacing w:val="0"/>
          <w:sz w:val="14"/>
          <w:szCs w:val="1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8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高功率密度设计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◆采用先进的拓扑设计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4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大大提升了产品的功率密度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减小产品的体积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适应更多场合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◆输出功率因数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0.8, 符合负载的发展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实现更强的带载能力。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卓越的电气性能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DSP 全数字控制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输出稳压精度高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具有自我保护和故障诊断功能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◆输入功率因数高达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0.99, 提升电能利用率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有效降低使用成本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◆整机效率高达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91%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以上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并提供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ECO 模式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节能效益明显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◆过载能力强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市电额定下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,125%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负载可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5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分钟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满足负载突加的情况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◆智能化电池管理功能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延长电池模块的使用寿命。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8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LCD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10"/>
          <w:sz w:val="19"/>
          <w:szCs w:val="19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显示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◆用户可轻松获取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UPS 状态信息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包括工作模式等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◆用户可通过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LCD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实时查询电池容量与负载容量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◆故障状态清楚显示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 提升问题解决速度。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0166B3"/>
          <w:spacing w:val="0"/>
          <w:sz w:val="19"/>
          <w:szCs w:val="19"/>
          <w:bdr w:val="none" w:color="auto" w:sz="0" w:space="0"/>
          <w:shd w:val="clear" w:fill="FFFFFF"/>
        </w:rPr>
        <w:t>完善的电源管理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◆风扇的故障自检和自动识别负载大小调整转速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3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降低功耗和噪音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◆标配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3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RS-232 及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USB 通讯接口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方便用户对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UPS 进行的通讯管理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◆配合不同的监控卡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2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,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可满足并实现用户多样的管理功能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0" w:afterAutospacing="0"/>
        <w:ind w:left="0" w:right="0" w:firstLine="580"/>
        <w:rPr>
          <w:rFonts w:hint="eastAsia" w:ascii="微软雅黑" w:hAnsi="微软雅黑" w:eastAsia="微软雅黑" w:cs="微软雅黑"/>
          <w:color w:val="606060"/>
        </w:rPr>
      </w:pP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◆提供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EPO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10"/>
          <w:sz w:val="13"/>
          <w:szCs w:val="13"/>
          <w:bdr w:val="none" w:color="auto" w:sz="0" w:space="0"/>
          <w:shd w:val="clear" w:fill="FFFFFF"/>
        </w:rPr>
        <w:t> </w:t>
      </w:r>
      <w:r>
        <w:rPr>
          <w:rFonts w:hint="eastAsia" w:ascii="Microsoft JhengHei" w:hAnsi="Microsoft JhengHei" w:eastAsia="Microsoft JhengHei" w:cs="Microsoft JhengHei"/>
          <w:i w:val="0"/>
          <w:iCs w:val="0"/>
          <w:caps w:val="0"/>
          <w:color w:val="231F20"/>
          <w:spacing w:val="0"/>
          <w:sz w:val="13"/>
          <w:szCs w:val="13"/>
          <w:bdr w:val="none" w:color="auto" w:sz="0" w:space="0"/>
          <w:shd w:val="clear" w:fill="FFFFFF"/>
        </w:rPr>
        <w:t>紧急关断功能。</w:t>
      </w:r>
    </w:p>
    <w:tbl>
      <w:tblPr>
        <w:tblW w:w="6820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0"/>
        <w:gridCol w:w="420"/>
        <w:gridCol w:w="770"/>
        <w:gridCol w:w="870"/>
        <w:gridCol w:w="70"/>
        <w:gridCol w:w="1060"/>
        <w:gridCol w:w="850"/>
        <w:gridCol w:w="1010"/>
        <w:gridCol w:w="13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型号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SC8110-5K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SC8110-5KL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SC8110-6K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SC8110-6KL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SC8110-10K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4FC3A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SC8110-10KL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额定容量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5KVA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6KVA</w:t>
            </w:r>
          </w:p>
        </w:tc>
        <w:tc>
          <w:tcPr>
            <w:tcW w:w="2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10KVA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输入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输入配线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单相二线＋地线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电压范围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120~275V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频率范围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46~64Hz50/60HZ自适应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输入功因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&gt;0.99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输出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电压范围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220×（1±1%）VAC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频率范围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市电模式：(46~54)Hz/(56~64)Hz(与输入市电频率同步); 电池模式：(50×(±0.1%)Hz/60(±0.1%)Hz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电流峰值比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3：1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41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额定功率因数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超载能力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Load&lt;105%,长期运行;105%&lt;Load≤125%&gt;1min;125%&lt;Load≤150%&gt;30sec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效率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upto90%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电池电压</w:t>
            </w:r>
          </w:p>
        </w:tc>
        <w:tc>
          <w:tcPr>
            <w:tcW w:w="5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16pcs×12VDC*2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外形尺寸(mm)</w:t>
            </w: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br w:type="textWrapping"/>
            </w: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W*D*H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248*620*500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248*460*500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248*620*500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248*460*500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248*620*500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248*460*500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Style w:val="5"/>
                <w:rFonts w:hint="default" w:ascii="Arial" w:hAnsi="Arial" w:eastAsia="微软雅黑" w:cs="Arial"/>
                <w:color w:val="231F20"/>
                <w:spacing w:val="0"/>
                <w:sz w:val="9"/>
                <w:szCs w:val="9"/>
                <w:bdr w:val="none" w:color="auto" w:sz="0" w:space="0"/>
              </w:rPr>
              <w:t>重量（KG）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57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18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18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59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606060"/>
              </w:rPr>
            </w:pPr>
            <w:r>
              <w:rPr>
                <w:rFonts w:hint="default" w:ascii="Arial" w:hAnsi="Arial" w:eastAsia="微软雅黑" w:cs="Arial"/>
                <w:color w:val="333333"/>
                <w:spacing w:val="0"/>
                <w:sz w:val="9"/>
                <w:szCs w:val="9"/>
                <w:bdr w:val="none" w:color="auto" w:sz="0" w:space="0"/>
              </w:rPr>
              <w:t>19.5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微软雅黑" w:hAnsi="微软雅黑" w:eastAsia="微软雅黑" w:cs="微软雅黑"/>
          <w:color w:val="606060"/>
        </w:rPr>
      </w:pPr>
      <w:r>
        <w:rPr>
          <w:rFonts w:ascii="Calibri" w:hAnsi="Calibri" w:eastAsia="微软雅黑" w:cs="Calibri"/>
          <w:i w:val="0"/>
          <w:iCs w:val="0"/>
          <w:caps w:val="0"/>
          <w:color w:val="606060"/>
          <w:spacing w:val="0"/>
          <w:sz w:val="14"/>
          <w:szCs w:val="14"/>
          <w:bdr w:val="none" w:color="auto" w:sz="0" w:space="0"/>
          <w:shd w:val="clear" w:fill="FFFFFF"/>
        </w:rPr>
        <w:t>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B3B3B"/>
          <w:spacing w:val="0"/>
          <w:sz w:val="9"/>
          <w:szCs w:val="9"/>
          <w:bdr w:val="none" w:color="auto" w:sz="0" w:space="0"/>
          <w:shd w:val="clear" w:fill="FFFFFF"/>
        </w:rPr>
        <w:t>*注：我司致力于技术创新，不断提供更好的产品和服务满足客户需求，对产品设计、技术规格的更新，恕不另行通知。产品以实物为准。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6C23EA"/>
    <w:multiLevelType w:val="multilevel"/>
    <w:tmpl w:val="666C23E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037CB"/>
    <w:rsid w:val="7FF0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2022-04-11T00:56:00Z</dcterms:created>
  <dc:creator>骄阳</dc:creator>
  <cp:lastModifiedBy>骄阳</cp:lastModifiedBy>
  <dcterms:modified xsi:type="dcterms:W3CDTF">2022-04-11T00:58:19Z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E35897975FD242F98BF83D280182A542</vt:lpwstr>
  </property>
</Properties>
</file>